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25" w:rsidRPr="000E551E" w:rsidRDefault="008C5825" w:rsidP="008C5825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0E551E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0E551E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0E551E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0E551E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0E551E">
        <w:rPr>
          <w:rFonts w:cs="Arial"/>
          <w:b/>
          <w:bCs/>
          <w:w w:val="102"/>
          <w:sz w:val="24"/>
          <w:szCs w:val="24"/>
          <w:u w:val="single"/>
        </w:rPr>
        <w:t>Maintenance of Highway Assets</w:t>
      </w:r>
    </w:p>
    <w:p w:rsidR="008C5825" w:rsidRPr="000E551E" w:rsidRDefault="008C5825" w:rsidP="008C5825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0E551E"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t xml:space="preserve">Appendix D: Draft A, B &amp; C Roads 2020/21 </w:t>
      </w:r>
      <w:r w:rsidRPr="000E551E">
        <w:rPr>
          <w:rFonts w:cs="Arial"/>
          <w:b/>
          <w:bCs/>
          <w:w w:val="102"/>
          <w:sz w:val="24"/>
          <w:szCs w:val="24"/>
          <w:u w:val="single"/>
        </w:rPr>
        <w:t>Programme</w:t>
      </w:r>
    </w:p>
    <w:p w:rsidR="008C5825" w:rsidRPr="008419D6" w:rsidRDefault="008C5825" w:rsidP="008C5825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71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62"/>
        <w:gridCol w:w="828"/>
        <w:gridCol w:w="1523"/>
        <w:gridCol w:w="1244"/>
        <w:gridCol w:w="1796"/>
        <w:gridCol w:w="2220"/>
        <w:gridCol w:w="1659"/>
        <w:gridCol w:w="2737"/>
      </w:tblGrid>
      <w:tr w:rsidR="008C5825" w:rsidTr="003064FD">
        <w:trPr>
          <w:gridAfter w:val="1"/>
          <w:wAfter w:w="1001" w:type="dxa"/>
          <w:trHeight w:val="376"/>
          <w:tblHeader/>
        </w:trPr>
        <w:tc>
          <w:tcPr>
            <w:tcW w:w="39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B0D4"/>
            <w:vAlign w:val="center"/>
            <w:hideMark/>
          </w:tcPr>
          <w:p w:rsidR="008C5825" w:rsidRPr="00BC66E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2020/21 </w:t>
            </w:r>
            <w:r w:rsidRPr="00BC66E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Programme: A, B &amp; C Roads - Resurfacing/Inlay </w:t>
            </w:r>
          </w:p>
        </w:tc>
      </w:tr>
      <w:tr w:rsidR="008C5825" w:rsidTr="003064FD">
        <w:trPr>
          <w:gridAfter w:val="1"/>
          <w:wAfter w:w="1001" w:type="dxa"/>
          <w:trHeight w:val="513"/>
          <w:tblHeader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  <w:hideMark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B0D4"/>
            <w:vAlign w:val="center"/>
            <w:hideMark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Road No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B0D4"/>
            <w:vAlign w:val="center"/>
            <w:hideMark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  <w:hideMark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  <w:hideMark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  <w:hideMark/>
          </w:tcPr>
          <w:p w:rsidR="008C5825" w:rsidRPr="00111E5E" w:rsidRDefault="008C5825" w:rsidP="003064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1E5E">
              <w:rPr>
                <w:b/>
                <w:bCs/>
                <w:color w:val="000000"/>
                <w:sz w:val="24"/>
                <w:szCs w:val="24"/>
              </w:rPr>
              <w:t>Scheme Extents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11E5E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1E5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8C5825" w:rsidTr="003064FD">
        <w:trPr>
          <w:gridAfter w:val="1"/>
          <w:wAfter w:w="1001" w:type="dxa"/>
          <w:trHeight w:val="128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>Chapel Street/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B60A4C">
              <w:rPr>
                <w:rFonts w:cs="Calibri"/>
                <w:bCs/>
                <w:color w:val="000000"/>
              </w:rPr>
              <w:t>Wigglesworth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</w:rPr>
              <w:t>B6478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 xml:space="preserve">Longridge with </w:t>
            </w:r>
            <w:proofErr w:type="spellStart"/>
            <w:r w:rsidRPr="00B60A4C">
              <w:rPr>
                <w:rFonts w:cs="Calibri"/>
                <w:bCs/>
                <w:color w:val="000000"/>
              </w:rPr>
              <w:t>Bowland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0A4C">
              <w:rPr>
                <w:rFonts w:cs="Calibri"/>
                <w:bCs/>
                <w:color w:val="000000"/>
              </w:rPr>
              <w:t>Ribble</w:t>
            </w:r>
            <w:proofErr w:type="spellEnd"/>
            <w:r w:rsidRPr="00B60A4C">
              <w:rPr>
                <w:rFonts w:cs="Calibri"/>
                <w:bCs/>
                <w:color w:val="000000"/>
              </w:rPr>
              <w:t xml:space="preserve"> Valley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 xml:space="preserve">Resurfacing </w:t>
            </w:r>
            <w:r w:rsidRPr="00B60A4C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 xml:space="preserve">Wigglesworth Road - </w:t>
            </w:r>
            <w:proofErr w:type="spellStart"/>
            <w:r w:rsidRPr="00B60A4C">
              <w:rPr>
                <w:rFonts w:cs="Calibri"/>
                <w:bCs/>
                <w:color w:val="000000"/>
              </w:rPr>
              <w:t>Rathmere</w:t>
            </w:r>
            <w:proofErr w:type="spellEnd"/>
            <w:r w:rsidRPr="00B60A4C">
              <w:rPr>
                <w:rFonts w:cs="Calibri"/>
                <w:bCs/>
                <w:color w:val="000000"/>
              </w:rPr>
              <w:t xml:space="preserve"> House to just past the hairpin bend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>£54,226.60</w:t>
            </w:r>
          </w:p>
        </w:tc>
      </w:tr>
      <w:tr w:rsidR="008C5825" w:rsidTr="003064FD">
        <w:trPr>
          <w:gridAfter w:val="1"/>
          <w:wAfter w:w="1001" w:type="dxa"/>
          <w:trHeight w:val="986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Fielding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60A4C">
              <w:rPr>
                <w:rFonts w:cs="Calibri"/>
                <w:bCs/>
              </w:rPr>
              <w:t>C630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proofErr w:type="spellStart"/>
            <w:r w:rsidRPr="00B60A4C">
              <w:rPr>
                <w:rFonts w:cs="Calibri"/>
                <w:bCs/>
                <w:color w:val="000000"/>
              </w:rPr>
              <w:t>Oswaldtwistle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Hyndburn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 xml:space="preserve">Resurfacing </w:t>
            </w:r>
            <w:r w:rsidRPr="00B60A4C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proofErr w:type="spellStart"/>
            <w:r w:rsidRPr="00B60A4C">
              <w:rPr>
                <w:rFonts w:cs="Calibri"/>
                <w:bCs/>
                <w:color w:val="000000"/>
              </w:rPr>
              <w:t>Heys</w:t>
            </w:r>
            <w:proofErr w:type="spellEnd"/>
            <w:r w:rsidRPr="00B60A4C">
              <w:rPr>
                <w:rFonts w:cs="Calibri"/>
                <w:bCs/>
                <w:color w:val="000000"/>
              </w:rPr>
              <w:t xml:space="preserve"> Lane to High Street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£148,632.53</w:t>
            </w:r>
          </w:p>
        </w:tc>
      </w:tr>
      <w:tr w:rsidR="008C5825" w:rsidTr="003064FD">
        <w:trPr>
          <w:trHeight w:val="111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Long Level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60A4C">
              <w:rPr>
                <w:rFonts w:cs="Calibri"/>
                <w:bCs/>
              </w:rPr>
              <w:t>A65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Lancaster Rural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Lancaster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 xml:space="preserve">Resurfacing </w:t>
            </w:r>
            <w:r w:rsidRPr="00B60A4C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E16789">
              <w:rPr>
                <w:rFonts w:cs="Calibri"/>
                <w:bCs/>
                <w:color w:val="000000"/>
              </w:rPr>
              <w:t xml:space="preserve">Low Lodge to </w:t>
            </w:r>
            <w:proofErr w:type="spellStart"/>
            <w:r w:rsidRPr="00E16789">
              <w:rPr>
                <w:rFonts w:cs="Calibri"/>
                <w:bCs/>
                <w:color w:val="000000"/>
              </w:rPr>
              <w:t>Earby</w:t>
            </w:r>
            <w:proofErr w:type="spellEnd"/>
            <w:r w:rsidRPr="00E16789">
              <w:rPr>
                <w:rFonts w:cs="Calibri"/>
                <w:bCs/>
                <w:color w:val="000000"/>
              </w:rPr>
              <w:t>/</w:t>
            </w:r>
            <w:proofErr w:type="spellStart"/>
            <w:r w:rsidRPr="00E16789">
              <w:rPr>
                <w:rFonts w:cs="Calibri"/>
                <w:bCs/>
                <w:color w:val="000000"/>
              </w:rPr>
              <w:t>Leck</w:t>
            </w:r>
            <w:proofErr w:type="spellEnd"/>
            <w:r w:rsidRPr="00E16789">
              <w:rPr>
                <w:rFonts w:cs="Calibri"/>
                <w:bCs/>
                <w:color w:val="000000"/>
              </w:rPr>
              <w:t xml:space="preserve"> boundary, and then the Yorkshire boundary to 613m west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£247,106.63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:rsidR="008C5825" w:rsidRPr="001E2FDC" w:rsidRDefault="008C5825" w:rsidP="003064F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5825" w:rsidTr="003064FD">
        <w:trPr>
          <w:trHeight w:val="988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Kirkham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60A4C">
              <w:rPr>
                <w:rFonts w:cs="Calibri"/>
                <w:bCs/>
              </w:rPr>
              <w:t>C293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Fylde South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Fylde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 xml:space="preserve">Resurfacing </w:t>
            </w:r>
            <w:r w:rsidRPr="00B60A4C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House number 217 to Sunnyside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£41,293.57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:rsidR="008C5825" w:rsidRPr="001E2FDC" w:rsidRDefault="008C5825" w:rsidP="003064F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QUERY </w:t>
            </w:r>
          </w:p>
        </w:tc>
      </w:tr>
      <w:tr w:rsidR="008C5825" w:rsidTr="003064FD">
        <w:trPr>
          <w:trHeight w:val="155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Church Street and Park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B6535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Great Harwood, </w:t>
            </w:r>
            <w:proofErr w:type="spellStart"/>
            <w:r>
              <w:rPr>
                <w:rFonts w:cs="Calibri"/>
                <w:color w:val="000000"/>
              </w:rPr>
              <w:t>Rishton</w:t>
            </w:r>
            <w:proofErr w:type="spellEnd"/>
            <w:r>
              <w:rPr>
                <w:rFonts w:cs="Calibri"/>
                <w:color w:val="000000"/>
              </w:rPr>
              <w:t xml:space="preserve"> and Clayton-le-Moors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Hyndburn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Church Street and Park Lane from outside number 38 to Mount Street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>£131,950.73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:rsidR="008C5825" w:rsidRPr="001E2FDC" w:rsidRDefault="008C5825" w:rsidP="003064F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C5825" w:rsidTr="003064FD">
        <w:trPr>
          <w:gridAfter w:val="1"/>
          <w:wAfter w:w="1001" w:type="dxa"/>
          <w:trHeight w:val="90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Manchester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A682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 Central West/ Burnley Rural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The junction of Spring Hill Road to the roundabout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£98,125.70</w:t>
            </w:r>
          </w:p>
        </w:tc>
      </w:tr>
      <w:tr w:rsidR="008C5825" w:rsidTr="003064FD">
        <w:trPr>
          <w:gridAfter w:val="1"/>
          <w:wAfter w:w="1001" w:type="dxa"/>
          <w:trHeight w:val="68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Liverpool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Penwortham West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Chesmere</w:t>
            </w:r>
            <w:proofErr w:type="spellEnd"/>
            <w:r>
              <w:rPr>
                <w:rFonts w:cs="Calibri"/>
                <w:color w:val="000000"/>
              </w:rPr>
              <w:t xml:space="preserve"> Drive to </w:t>
            </w:r>
            <w:proofErr w:type="spellStart"/>
            <w:r>
              <w:rPr>
                <w:rFonts w:cs="Calibri"/>
                <w:color w:val="000000"/>
              </w:rPr>
              <w:t>Howick</w:t>
            </w:r>
            <w:proofErr w:type="spellEnd"/>
            <w:r>
              <w:rPr>
                <w:rFonts w:cs="Calibri"/>
                <w:color w:val="000000"/>
              </w:rPr>
              <w:t xml:space="preserve"> Cross Lane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£153,222.21</w:t>
            </w:r>
          </w:p>
        </w:tc>
      </w:tr>
      <w:tr w:rsidR="008C5825" w:rsidTr="003064FD">
        <w:trPr>
          <w:gridAfter w:val="1"/>
          <w:wAfter w:w="1001" w:type="dxa"/>
          <w:trHeight w:val="106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 Road East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B6238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100m south of Lower Clough Bottom Farm for a 34m stretch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£34,712.50</w:t>
            </w:r>
          </w:p>
        </w:tc>
      </w:tr>
      <w:tr w:rsidR="008C5825" w:rsidTr="003064FD">
        <w:trPr>
          <w:gridAfter w:val="1"/>
          <w:wAfter w:w="1001" w:type="dxa"/>
          <w:trHeight w:val="126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Wigan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A577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Ormskirk, West Lancashire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Stanley Street to Tower Hill Lane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£76,562.39</w:t>
            </w:r>
          </w:p>
        </w:tc>
      </w:tr>
      <w:tr w:rsidR="008C5825" w:rsidTr="003064FD">
        <w:trPr>
          <w:gridAfter w:val="1"/>
          <w:wAfter w:w="1001" w:type="dxa"/>
          <w:trHeight w:val="832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Liverpool Road South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A59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Burscough</w:t>
            </w:r>
            <w:proofErr w:type="spellEnd"/>
            <w:r>
              <w:rPr>
                <w:rFonts w:cs="Calibri"/>
                <w:color w:val="000000"/>
              </w:rPr>
              <w:t xml:space="preserve"> and </w:t>
            </w:r>
            <w:proofErr w:type="spellStart"/>
            <w:r>
              <w:rPr>
                <w:rFonts w:cs="Calibri"/>
                <w:color w:val="000000"/>
              </w:rPr>
              <w:t>Rufford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B35AE7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Rivington</w:t>
            </w:r>
            <w:proofErr w:type="spellEnd"/>
            <w:r>
              <w:rPr>
                <w:rFonts w:cs="Calibri"/>
                <w:color w:val="000000"/>
              </w:rPr>
              <w:t xml:space="preserve"> Drive to house number 238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B60A4C">
              <w:rPr>
                <w:rFonts w:cs="Calibri"/>
                <w:bCs/>
                <w:color w:val="000000"/>
              </w:rPr>
              <w:t>£54,886.55</w:t>
            </w:r>
          </w:p>
        </w:tc>
      </w:tr>
      <w:tr w:rsidR="008C5825" w:rsidTr="003064FD">
        <w:trPr>
          <w:gridAfter w:val="1"/>
          <w:wAfter w:w="1001" w:type="dxa"/>
          <w:trHeight w:val="906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Skull House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B5375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Skelmersdale</w:t>
            </w:r>
            <w:proofErr w:type="spellEnd"/>
            <w:r>
              <w:rPr>
                <w:rFonts w:cs="Calibri"/>
                <w:color w:val="000000"/>
              </w:rPr>
              <w:t xml:space="preserve">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B35AE7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Outside The Mount on </w:t>
            </w:r>
            <w:proofErr w:type="spellStart"/>
            <w:r>
              <w:rPr>
                <w:rFonts w:cs="Calibri"/>
                <w:color w:val="000000"/>
              </w:rPr>
              <w:t>Appley</w:t>
            </w:r>
            <w:proofErr w:type="spellEnd"/>
            <w:r>
              <w:rPr>
                <w:rFonts w:cs="Calibri"/>
                <w:color w:val="000000"/>
              </w:rPr>
              <w:t xml:space="preserve"> Lane North to the Wigan boundary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B60A4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B60A4C">
              <w:rPr>
                <w:rFonts w:cs="Calibri"/>
                <w:bCs/>
                <w:color w:val="000000"/>
              </w:rPr>
              <w:t>£76,097.47</w:t>
            </w:r>
          </w:p>
        </w:tc>
      </w:tr>
      <w:tr w:rsidR="008C5825" w:rsidTr="003064FD">
        <w:trPr>
          <w:gridAfter w:val="1"/>
          <w:wAfter w:w="1001" w:type="dxa"/>
          <w:trHeight w:val="95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lastRenderedPageBreak/>
              <w:t>Bolton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A675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Hoghton</w:t>
            </w:r>
            <w:proofErr w:type="spellEnd"/>
            <w:r>
              <w:rPr>
                <w:rFonts w:cs="Calibri"/>
                <w:color w:val="000000"/>
              </w:rPr>
              <w:t xml:space="preserve"> with </w:t>
            </w:r>
            <w:proofErr w:type="spellStart"/>
            <w:r>
              <w:rPr>
                <w:rFonts w:cs="Calibri"/>
                <w:color w:val="000000"/>
              </w:rPr>
              <w:t>Wheelton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Chorley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Dole Lane to 589m west near the station house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FF03F5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FF03F5">
              <w:rPr>
                <w:rFonts w:cs="Calibri"/>
                <w:bCs/>
                <w:color w:val="000000"/>
              </w:rPr>
              <w:t>£65,733.96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Aughton Street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B5197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Ormskirk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Park Road to </w:t>
            </w:r>
            <w:proofErr w:type="spellStart"/>
            <w:r>
              <w:rPr>
                <w:rFonts w:cs="Calibri"/>
                <w:color w:val="000000"/>
              </w:rPr>
              <w:t>Prescot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FF03F5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FF03F5">
              <w:rPr>
                <w:rFonts w:cs="Calibri"/>
                <w:bCs/>
                <w:color w:val="000000"/>
              </w:rPr>
              <w:t>£66,996.33</w:t>
            </w:r>
          </w:p>
        </w:tc>
      </w:tr>
      <w:tr w:rsidR="008C5825" w:rsidTr="003064FD">
        <w:trPr>
          <w:gridAfter w:val="1"/>
          <w:wAfter w:w="1001" w:type="dxa"/>
          <w:trHeight w:val="369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Rawtenstall</w:t>
            </w:r>
            <w:proofErr w:type="spellEnd"/>
            <w:r>
              <w:rPr>
                <w:rFonts w:cs="Calibri"/>
                <w:color w:val="000000"/>
              </w:rPr>
              <w:t xml:space="preserve"> Spur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A682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 South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the adoption at the junction with A56, to the roundabout at junction with Ashworth Way (2 lanes coming from </w:t>
            </w:r>
            <w:proofErr w:type="spellStart"/>
            <w:r>
              <w:rPr>
                <w:rFonts w:cs="Calibri"/>
                <w:color w:val="000000"/>
              </w:rPr>
              <w:t>Edenfield</w:t>
            </w:r>
            <w:proofErr w:type="spellEnd"/>
            <w:r>
              <w:rPr>
                <w:rFonts w:cs="Calibri"/>
                <w:color w:val="000000"/>
              </w:rPr>
              <w:t xml:space="preserve"> towards </w:t>
            </w:r>
            <w:proofErr w:type="spellStart"/>
            <w:r>
              <w:rPr>
                <w:rFonts w:cs="Calibri"/>
                <w:color w:val="000000"/>
              </w:rPr>
              <w:t>Rawtenstall</w:t>
            </w:r>
            <w:proofErr w:type="spellEnd"/>
            <w:r>
              <w:rPr>
                <w:rFonts w:cs="Calibri"/>
                <w:color w:val="000000"/>
              </w:rPr>
              <w:t xml:space="preserve">), and Ashworth Way roundabout to </w:t>
            </w:r>
            <w:proofErr w:type="spellStart"/>
            <w:r>
              <w:rPr>
                <w:rFonts w:cs="Calibri"/>
                <w:color w:val="000000"/>
              </w:rPr>
              <w:t>Haslingden</w:t>
            </w:r>
            <w:proofErr w:type="spellEnd"/>
            <w:r>
              <w:rPr>
                <w:rFonts w:cs="Calibri"/>
                <w:color w:val="000000"/>
              </w:rPr>
              <w:t xml:space="preserve"> Road (eastbound)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FF03F5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FF03F5">
              <w:rPr>
                <w:rFonts w:cs="Calibri"/>
                <w:bCs/>
                <w:color w:val="000000"/>
              </w:rPr>
              <w:t>£331,165.52</w:t>
            </w:r>
          </w:p>
        </w:tc>
      </w:tr>
      <w:tr w:rsidR="008C5825" w:rsidTr="003064FD">
        <w:trPr>
          <w:gridAfter w:val="1"/>
          <w:wAfter w:w="1001" w:type="dxa"/>
          <w:trHeight w:val="168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Leyland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B5254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Penwortham West, Penwortham East and Walton le Dale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Pembury Avenue to Bee Lane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FF03F5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FF03F5">
              <w:rPr>
                <w:rFonts w:cs="Calibri"/>
                <w:bCs/>
                <w:color w:val="000000"/>
              </w:rPr>
              <w:t>£72,154.41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Hardhorn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C380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Poulton</w:t>
            </w:r>
            <w:proofErr w:type="spellEnd"/>
            <w:r>
              <w:rPr>
                <w:rFonts w:cs="Calibri"/>
                <w:color w:val="000000"/>
              </w:rPr>
              <w:t>-Le-Fylde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FF03F5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FF03F5">
              <w:rPr>
                <w:rFonts w:cs="Calibri"/>
                <w:bCs/>
                <w:color w:val="000000"/>
              </w:rPr>
              <w:t>£190,000.55</w:t>
            </w:r>
          </w:p>
        </w:tc>
      </w:tr>
      <w:tr w:rsidR="008C5825" w:rsidTr="003064FD">
        <w:trPr>
          <w:gridAfter w:val="1"/>
          <w:wAfter w:w="1001" w:type="dxa"/>
          <w:trHeight w:val="1022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Shaw Brow and Town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C219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Clayton with Whittle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Chorley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30m east of Lady Crosse Drive to Preston Road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4C5435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4C5435">
              <w:rPr>
                <w:rFonts w:cs="Calibri"/>
                <w:bCs/>
                <w:color w:val="000000"/>
              </w:rPr>
              <w:t>£64,979.36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Prescot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B5197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 West, Ormskirk, West Lancashire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Long Lane to Aughton Street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4C5435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4C5435">
              <w:rPr>
                <w:rFonts w:cs="Calibri"/>
                <w:bCs/>
                <w:color w:val="000000"/>
              </w:rPr>
              <w:t>£119,085.88</w:t>
            </w:r>
          </w:p>
        </w:tc>
      </w:tr>
      <w:tr w:rsidR="008C5825" w:rsidTr="003064FD">
        <w:trPr>
          <w:gridAfter w:val="1"/>
          <w:wAfter w:w="1001" w:type="dxa"/>
          <w:trHeight w:val="134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Course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A5209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Tawd</w:t>
            </w:r>
            <w:proofErr w:type="spellEnd"/>
            <w:r>
              <w:rPr>
                <w:rFonts w:cs="Calibri"/>
                <w:color w:val="000000"/>
              </w:rPr>
              <w:t xml:space="preserve"> Vale bridge to between houses Ivanhoe and Greenfield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4C5435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4C5435">
              <w:rPr>
                <w:rFonts w:cs="Calibri"/>
                <w:bCs/>
                <w:color w:val="000000"/>
              </w:rPr>
              <w:t>£81,168.84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Fishergate</w:t>
            </w:r>
            <w:proofErr w:type="spellEnd"/>
            <w:r>
              <w:rPr>
                <w:rFonts w:cs="Calibri"/>
                <w:color w:val="000000"/>
              </w:rPr>
              <w:t xml:space="preserve"> Hill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C329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 City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Beech Street to Pitt Street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4C5435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4C5435">
              <w:rPr>
                <w:rFonts w:cs="Calibri"/>
                <w:bCs/>
                <w:color w:val="000000"/>
              </w:rPr>
              <w:t>£142,246.79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Station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C244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West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Royalty Lane to near junction with Wham Lane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4C5435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4C5435">
              <w:rPr>
                <w:rFonts w:cs="Calibri"/>
                <w:bCs/>
                <w:color w:val="000000"/>
              </w:rPr>
              <w:t>£41,840.93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Wigan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A577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West Lancashire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Castle Lane to outside 104 Wigan Road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3D06DD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3D06DD">
              <w:rPr>
                <w:rFonts w:cs="Calibri"/>
                <w:bCs/>
                <w:color w:val="000000"/>
              </w:rPr>
              <w:t>£82,006.74</w:t>
            </w:r>
          </w:p>
        </w:tc>
      </w:tr>
      <w:tr w:rsidR="008C5825" w:rsidTr="003064FD">
        <w:trPr>
          <w:gridAfter w:val="1"/>
          <w:wAfter w:w="1001" w:type="dxa"/>
          <w:trHeight w:val="101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Woodplumpton</w:t>
            </w:r>
            <w:proofErr w:type="spellEnd"/>
            <w:r>
              <w:rPr>
                <w:rFonts w:cs="Calibri"/>
                <w:color w:val="000000"/>
              </w:rPr>
              <w:t xml:space="preserve"> Road and Tag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B5411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 West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Gulf Garage to </w:t>
            </w:r>
            <w:proofErr w:type="spellStart"/>
            <w:r>
              <w:rPr>
                <w:rFonts w:cs="Calibri"/>
                <w:color w:val="000000"/>
              </w:rPr>
              <w:t>Banksfield</w:t>
            </w:r>
            <w:proofErr w:type="spellEnd"/>
            <w:r>
              <w:rPr>
                <w:rFonts w:cs="Calibri"/>
                <w:color w:val="000000"/>
              </w:rPr>
              <w:t xml:space="preserve"> Avenue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3D06DD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3D06DD">
              <w:rPr>
                <w:rFonts w:cs="Calibri"/>
                <w:bCs/>
                <w:color w:val="000000"/>
              </w:rPr>
              <w:t>£106,983.92</w:t>
            </w:r>
          </w:p>
        </w:tc>
      </w:tr>
      <w:tr w:rsidR="008C5825" w:rsidTr="003064FD">
        <w:trPr>
          <w:gridAfter w:val="1"/>
          <w:wAfter w:w="1001" w:type="dxa"/>
          <w:trHeight w:val="988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Guinea Hall Lane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C140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 North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Southport New Road to 20m past </w:t>
            </w:r>
            <w:proofErr w:type="spellStart"/>
            <w:r>
              <w:rPr>
                <w:rFonts w:cs="Calibri"/>
                <w:color w:val="000000"/>
              </w:rPr>
              <w:t>Aveling</w:t>
            </w:r>
            <w:proofErr w:type="spellEnd"/>
            <w:r>
              <w:rPr>
                <w:rFonts w:cs="Calibri"/>
                <w:color w:val="000000"/>
              </w:rPr>
              <w:t xml:space="preserve"> Drive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3D06DD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3D06DD">
              <w:rPr>
                <w:rFonts w:cs="Calibri"/>
                <w:bCs/>
                <w:color w:val="000000"/>
              </w:rPr>
              <w:t>£103,890.07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Weeton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C270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 East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</w:pPr>
            <w:r w:rsidRPr="004F775A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Garstang Road North to Kirkham Bypass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3D06DD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3D06DD">
              <w:rPr>
                <w:rFonts w:cs="Calibri"/>
                <w:bCs/>
                <w:color w:val="000000"/>
              </w:rPr>
              <w:t>£69,470.45</w:t>
            </w:r>
          </w:p>
        </w:tc>
      </w:tr>
      <w:tr w:rsidR="008C5825" w:rsidTr="003064FD">
        <w:trPr>
          <w:gridAfter w:val="1"/>
          <w:wAfter w:w="1001" w:type="dxa"/>
          <w:trHeight w:val="101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Craddock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A56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Pendle Central, Pendle Rural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Pendle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D56413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Church Street to the fire station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1321D0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1321D0">
              <w:rPr>
                <w:rFonts w:cs="Calibri"/>
                <w:bCs/>
                <w:color w:val="000000"/>
              </w:rPr>
              <w:t>£107,406.53</w:t>
            </w:r>
          </w:p>
        </w:tc>
      </w:tr>
      <w:tr w:rsidR="008C5825" w:rsidTr="003064FD">
        <w:trPr>
          <w:gridAfter w:val="1"/>
          <w:wAfter w:w="1001" w:type="dxa"/>
          <w:trHeight w:val="8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Green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B5250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 Rural West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D56413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Briars to Drapers Avenue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1321D0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1321D0">
              <w:rPr>
                <w:rFonts w:cs="Calibri"/>
                <w:bCs/>
                <w:color w:val="000000"/>
              </w:rPr>
              <w:t>£35,445.73</w:t>
            </w:r>
          </w:p>
        </w:tc>
      </w:tr>
      <w:tr w:rsidR="008C5825" w:rsidTr="003064FD">
        <w:trPr>
          <w:gridAfter w:val="1"/>
          <w:wAfter w:w="1001" w:type="dxa"/>
          <w:trHeight w:val="157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Southport Road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A570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West Lancashire West, </w:t>
            </w:r>
            <w:proofErr w:type="spellStart"/>
            <w:r>
              <w:rPr>
                <w:rFonts w:cs="Calibri"/>
                <w:color w:val="000000"/>
              </w:rPr>
              <w:t>Burscough</w:t>
            </w:r>
            <w:proofErr w:type="spellEnd"/>
            <w:r>
              <w:rPr>
                <w:rFonts w:cs="Calibri"/>
                <w:color w:val="000000"/>
              </w:rPr>
              <w:t xml:space="preserve"> and </w:t>
            </w:r>
            <w:proofErr w:type="spellStart"/>
            <w:r>
              <w:rPr>
                <w:rFonts w:cs="Calibri"/>
                <w:color w:val="000000"/>
              </w:rPr>
              <w:t>Rufford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D56413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Lighting column 102 to 20m past number 518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1321D0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1321D0">
              <w:rPr>
                <w:rFonts w:cs="Calibri"/>
                <w:bCs/>
                <w:color w:val="000000"/>
              </w:rPr>
              <w:t>£68,507.22</w:t>
            </w:r>
          </w:p>
        </w:tc>
      </w:tr>
      <w:tr w:rsidR="008C5825" w:rsidTr="003064FD">
        <w:trPr>
          <w:gridAfter w:val="1"/>
          <w:wAfter w:w="1001" w:type="dxa"/>
          <w:trHeight w:val="1288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Brooke Street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C206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 North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D56413">
              <w:rPr>
                <w:rFonts w:cs="Calibri"/>
                <w:color w:val="000000"/>
              </w:rPr>
              <w:t>Resurfacing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Eaves Lane roundabout to the Railway Bridge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1321D0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1321D0">
              <w:rPr>
                <w:rFonts w:cs="Calibri"/>
                <w:bCs/>
                <w:color w:val="000000"/>
              </w:rPr>
              <w:t>£65,821.06</w:t>
            </w:r>
          </w:p>
        </w:tc>
      </w:tr>
      <w:tr w:rsidR="008C5825" w:rsidTr="003064FD">
        <w:trPr>
          <w:gridAfter w:val="1"/>
          <w:wAfter w:w="1001" w:type="dxa"/>
          <w:trHeight w:val="484"/>
        </w:trPr>
        <w:tc>
          <w:tcPr>
            <w:tcW w:w="33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:rsidR="008C5825" w:rsidRPr="00A45DA1" w:rsidRDefault="008C5825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A45DA1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Forecast Outturn Capital Expenditure: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C5825" w:rsidRPr="001321D0" w:rsidRDefault="008C5825" w:rsidP="003064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21D0">
              <w:rPr>
                <w:rFonts w:cs="Calibri"/>
                <w:b/>
                <w:bCs/>
                <w:color w:val="000000"/>
                <w:sz w:val="24"/>
                <w:szCs w:val="24"/>
              </w:rPr>
              <w:t>£2,931,721.15</w:t>
            </w:r>
          </w:p>
        </w:tc>
      </w:tr>
    </w:tbl>
    <w:p w:rsidR="008C5825" w:rsidRDefault="008C5825" w:rsidP="008C582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8C5825" w:rsidRDefault="008C5825" w:rsidP="008C582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8C5825" w:rsidRDefault="008C5825" w:rsidP="008C582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8C5825" w:rsidRPr="00913A07" w:rsidRDefault="008C5825" w:rsidP="008C5825">
      <w:pPr>
        <w:rPr>
          <w:sz w:val="32"/>
          <w:szCs w:val="32"/>
        </w:rPr>
      </w:pPr>
    </w:p>
    <w:p w:rsidR="008C5825" w:rsidRDefault="008C5825" w:rsidP="008C582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8C5825" w:rsidRPr="0034771F" w:rsidRDefault="008C5825" w:rsidP="008C582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br w:type="page"/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 xml:space="preserve">Draft </w:t>
      </w:r>
      <w:r w:rsidRPr="0034771F"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t>Surface Dressing Programme</w:t>
      </w:r>
    </w:p>
    <w:p w:rsidR="008C5825" w:rsidRPr="0034771F" w:rsidRDefault="008C5825" w:rsidP="008C5825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56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29"/>
        <w:gridCol w:w="829"/>
        <w:gridCol w:w="1242"/>
        <w:gridCol w:w="1244"/>
        <w:gridCol w:w="1663"/>
        <w:gridCol w:w="2775"/>
        <w:gridCol w:w="1516"/>
      </w:tblGrid>
      <w:tr w:rsidR="008C5825" w:rsidTr="003064FD">
        <w:trPr>
          <w:trHeight w:val="37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B0D4"/>
            <w:vAlign w:val="center"/>
            <w:hideMark/>
          </w:tcPr>
          <w:p w:rsidR="008C5825" w:rsidRPr="0034771F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77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Programme: A, B and C Roads - Surface Dressing Programme</w:t>
            </w:r>
          </w:p>
        </w:tc>
      </w:tr>
      <w:tr w:rsidR="008C5825" w:rsidTr="003064FD">
        <w:trPr>
          <w:trHeight w:val="703"/>
          <w:tblHeader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Road 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Scheme Extents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8C5825" w:rsidRPr="00195970" w:rsidRDefault="008C5825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8C5825" w:rsidTr="003064FD">
        <w:trPr>
          <w:trHeight w:val="178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EC76BA">
              <w:rPr>
                <w:rFonts w:cs="Calibri"/>
                <w:bCs/>
                <w:color w:val="000000"/>
              </w:rPr>
              <w:t>Chapel Street/ Wigglesworth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EC76BA">
              <w:rPr>
                <w:rFonts w:cs="Calibri"/>
                <w:bCs/>
              </w:rPr>
              <w:t>B6478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9C1A8E">
              <w:rPr>
                <w:rFonts w:cs="Calibri"/>
                <w:bCs/>
                <w:color w:val="000000"/>
              </w:rPr>
              <w:t xml:space="preserve">Longridge with </w:t>
            </w:r>
            <w:proofErr w:type="spellStart"/>
            <w:r w:rsidRPr="009C1A8E">
              <w:rPr>
                <w:rFonts w:cs="Calibri"/>
                <w:bCs/>
                <w:color w:val="000000"/>
              </w:rPr>
              <w:t>Bowland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1A8E">
              <w:rPr>
                <w:rFonts w:cs="Calibri"/>
                <w:bCs/>
                <w:color w:val="000000"/>
              </w:rPr>
              <w:t>Ribble</w:t>
            </w:r>
            <w:proofErr w:type="spellEnd"/>
            <w:r w:rsidRPr="009C1A8E">
              <w:rPr>
                <w:rFonts w:cs="Calibri"/>
                <w:bCs/>
                <w:color w:val="000000"/>
              </w:rPr>
              <w:t xml:space="preserve"> Valley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9C1A8E">
              <w:rPr>
                <w:rFonts w:cs="Calibri"/>
                <w:bCs/>
                <w:color w:val="000000"/>
              </w:rPr>
              <w:t xml:space="preserve">Surface dressing </w:t>
            </w:r>
            <w:r w:rsidRPr="009C1A8E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9C1A8E">
              <w:rPr>
                <w:rFonts w:cs="Calibri"/>
                <w:bCs/>
              </w:rPr>
              <w:t xml:space="preserve">Through </w:t>
            </w:r>
            <w:proofErr w:type="spellStart"/>
            <w:r w:rsidRPr="009C1A8E">
              <w:rPr>
                <w:rFonts w:cs="Calibri"/>
                <w:bCs/>
              </w:rPr>
              <w:t>Slaidburn</w:t>
            </w:r>
            <w:proofErr w:type="spellEnd"/>
            <w:r w:rsidRPr="009C1A8E">
              <w:rPr>
                <w:rFonts w:cs="Calibri"/>
                <w:bCs/>
              </w:rPr>
              <w:t xml:space="preserve"> Village; from </w:t>
            </w:r>
            <w:proofErr w:type="spellStart"/>
            <w:r w:rsidRPr="009C1A8E">
              <w:rPr>
                <w:rFonts w:cs="Calibri"/>
                <w:bCs/>
              </w:rPr>
              <w:t>Slaidburn</w:t>
            </w:r>
            <w:proofErr w:type="spellEnd"/>
            <w:r w:rsidRPr="009C1A8E">
              <w:rPr>
                <w:rFonts w:cs="Calibri"/>
                <w:bCs/>
              </w:rPr>
              <w:t xml:space="preserve"> Village sign at the sharp bend near </w:t>
            </w:r>
            <w:proofErr w:type="spellStart"/>
            <w:r w:rsidRPr="009C1A8E">
              <w:rPr>
                <w:rFonts w:cs="Calibri"/>
                <w:bCs/>
              </w:rPr>
              <w:t>Rathmere</w:t>
            </w:r>
            <w:proofErr w:type="spellEnd"/>
            <w:r w:rsidRPr="009C1A8E">
              <w:rPr>
                <w:rFonts w:cs="Calibri"/>
                <w:bCs/>
              </w:rPr>
              <w:t xml:space="preserve"> House to </w:t>
            </w:r>
            <w:proofErr w:type="spellStart"/>
            <w:r w:rsidRPr="009C1A8E">
              <w:rPr>
                <w:rFonts w:cs="Calibri"/>
                <w:bCs/>
              </w:rPr>
              <w:t>Baithe</w:t>
            </w:r>
            <w:proofErr w:type="spellEnd"/>
            <w:r w:rsidRPr="009C1A8E">
              <w:rPr>
                <w:rFonts w:cs="Calibri"/>
                <w:bCs/>
              </w:rPr>
              <w:t xml:space="preserve"> </w:t>
            </w:r>
            <w:proofErr w:type="spellStart"/>
            <w:r w:rsidRPr="009C1A8E">
              <w:rPr>
                <w:rFonts w:cs="Calibri"/>
                <w:bCs/>
              </w:rPr>
              <w:t>Laithe</w:t>
            </w:r>
            <w:proofErr w:type="spellEnd"/>
            <w:r w:rsidRPr="009C1A8E">
              <w:rPr>
                <w:rFonts w:cs="Calibri"/>
                <w:bCs/>
              </w:rPr>
              <w:t xml:space="preserve"> Farm next to St Andrews Church (not including sharp bend)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9C1A8E">
              <w:rPr>
                <w:rFonts w:cs="Calibri"/>
                <w:bCs/>
                <w:color w:val="000000"/>
              </w:rPr>
              <w:t>£75,197.02</w:t>
            </w:r>
          </w:p>
        </w:tc>
      </w:tr>
      <w:tr w:rsidR="008C5825" w:rsidTr="003064FD">
        <w:trPr>
          <w:trHeight w:val="12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C76BA">
              <w:rPr>
                <w:rFonts w:cs="Calibri"/>
                <w:bCs/>
                <w:color w:val="000000"/>
              </w:rPr>
              <w:t>Fielding Lane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EC76BA">
              <w:rPr>
                <w:rFonts w:cs="Calibri"/>
                <w:bCs/>
              </w:rPr>
              <w:t>C630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Oswald</w:t>
            </w:r>
            <w:r>
              <w:rPr>
                <w:rFonts w:cs="Calibri"/>
                <w:bCs/>
                <w:color w:val="000000"/>
              </w:rPr>
              <w:t>-</w:t>
            </w:r>
            <w:proofErr w:type="spellStart"/>
            <w:r w:rsidRPr="009C1A8E">
              <w:rPr>
                <w:rFonts w:cs="Calibri"/>
                <w:bCs/>
                <w:color w:val="000000"/>
              </w:rPr>
              <w:t>twistle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Hyndburn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 xml:space="preserve">Surface dressing </w:t>
            </w:r>
            <w:r w:rsidRPr="009C1A8E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C1A8E">
              <w:rPr>
                <w:rFonts w:cs="Calibri"/>
                <w:bCs/>
              </w:rPr>
              <w:t xml:space="preserve">High Street to </w:t>
            </w:r>
            <w:proofErr w:type="spellStart"/>
            <w:r w:rsidRPr="009C1A8E">
              <w:rPr>
                <w:rFonts w:cs="Calibri"/>
                <w:bCs/>
              </w:rPr>
              <w:t>Haslingden</w:t>
            </w:r>
            <w:proofErr w:type="spellEnd"/>
            <w:r w:rsidRPr="009C1A8E">
              <w:rPr>
                <w:rFonts w:cs="Calibri"/>
                <w:bCs/>
              </w:rPr>
              <w:t xml:space="preserve"> Old Road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£149,460.69</w:t>
            </w:r>
          </w:p>
        </w:tc>
      </w:tr>
      <w:tr w:rsidR="008C5825" w:rsidTr="003064FD">
        <w:trPr>
          <w:trHeight w:val="13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C76BA">
              <w:rPr>
                <w:rFonts w:cs="Calibri"/>
                <w:bCs/>
                <w:color w:val="000000"/>
              </w:rPr>
              <w:t>Long Level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EC76BA">
              <w:rPr>
                <w:rFonts w:cs="Calibri"/>
                <w:bCs/>
              </w:rPr>
              <w:t>A65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Lancaster Rural East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Lancaster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Surface dressing </w:t>
            </w:r>
            <w:r>
              <w:rPr>
                <w:rFonts w:cs="Calibri"/>
                <w:bCs/>
                <w:color w:val="000000"/>
              </w:rPr>
              <w:br/>
              <w:t>(multi-</w:t>
            </w:r>
            <w:r w:rsidRPr="009C1A8E">
              <w:rPr>
                <w:rFonts w:cs="Calibri"/>
                <w:bCs/>
                <w:color w:val="000000"/>
              </w:rPr>
              <w:t>treatment scheme)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C1A8E">
              <w:rPr>
                <w:rFonts w:cs="Calibri"/>
                <w:bCs/>
              </w:rPr>
              <w:t xml:space="preserve">Burr Tree Cottage to </w:t>
            </w:r>
            <w:r>
              <w:rPr>
                <w:rFonts w:cs="Calibri"/>
                <w:bCs/>
              </w:rPr>
              <w:t>A683 Burrow Road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£194,905.77</w:t>
            </w:r>
          </w:p>
        </w:tc>
      </w:tr>
      <w:tr w:rsidR="008C5825" w:rsidTr="003064FD">
        <w:trPr>
          <w:trHeight w:val="133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C76BA">
              <w:rPr>
                <w:rFonts w:cs="Calibri"/>
                <w:bCs/>
                <w:color w:val="000000"/>
              </w:rPr>
              <w:t>Kirkham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EC76BA" w:rsidRDefault="008C5825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EC76BA">
              <w:rPr>
                <w:rFonts w:cs="Calibri"/>
                <w:bCs/>
              </w:rPr>
              <w:t>C293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Fylde South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Fylde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 xml:space="preserve">Surface dressing </w:t>
            </w:r>
            <w:r w:rsidRPr="009C1A8E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Preston New Road to house number 217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£75,533.53</w:t>
            </w:r>
          </w:p>
        </w:tc>
      </w:tr>
      <w:tr w:rsidR="008C5825" w:rsidTr="003064FD">
        <w:trPr>
          <w:trHeight w:val="181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Harwood New Road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B6535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Great Harwood, </w:t>
            </w:r>
            <w:proofErr w:type="spellStart"/>
            <w:r>
              <w:rPr>
                <w:rFonts w:cs="Calibri"/>
              </w:rPr>
              <w:t>Rishton</w:t>
            </w:r>
            <w:proofErr w:type="spellEnd"/>
            <w:r>
              <w:rPr>
                <w:rFonts w:cs="Calibri"/>
              </w:rPr>
              <w:t xml:space="preserve"> and Clayton-le-Moors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Hyndburn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Mount Street to </w:t>
            </w:r>
            <w:proofErr w:type="spellStart"/>
            <w:r>
              <w:rPr>
                <w:rFonts w:cs="Calibri"/>
                <w:color w:val="000000"/>
              </w:rPr>
              <w:t>Whalley</w:t>
            </w:r>
            <w:proofErr w:type="spellEnd"/>
            <w:r>
              <w:rPr>
                <w:rFonts w:cs="Calibri"/>
                <w:color w:val="000000"/>
              </w:rPr>
              <w:t xml:space="preserve"> Road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6A47B6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A47B6">
              <w:rPr>
                <w:rFonts w:cs="Calibri"/>
                <w:bCs/>
                <w:color w:val="000000"/>
              </w:rPr>
              <w:t>£101,311.07</w:t>
            </w:r>
          </w:p>
        </w:tc>
      </w:tr>
      <w:tr w:rsidR="008C5825" w:rsidTr="003064FD">
        <w:trPr>
          <w:trHeight w:val="8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Stanhill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B6234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Oswald-</w:t>
            </w:r>
            <w:proofErr w:type="spellStart"/>
            <w:r>
              <w:rPr>
                <w:rFonts w:cs="Calibri"/>
                <w:color w:val="000000"/>
              </w:rPr>
              <w:t>twistle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Hyndburn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Haslingden</w:t>
            </w:r>
            <w:proofErr w:type="spellEnd"/>
            <w:r>
              <w:rPr>
                <w:rFonts w:cs="Calibri"/>
                <w:color w:val="000000"/>
              </w:rPr>
              <w:t xml:space="preserve"> Old Road to Sadler Street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£276,716.90</w:t>
            </w:r>
          </w:p>
        </w:tc>
      </w:tr>
      <w:tr w:rsidR="008C5825" w:rsidTr="003064FD">
        <w:trPr>
          <w:trHeight w:val="77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 Road East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B6238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 w:rsidRPr="009C1A8E">
              <w:rPr>
                <w:rFonts w:cs="Calibri"/>
              </w:rPr>
              <w:t>Rossendale</w:t>
            </w:r>
            <w:r>
              <w:rPr>
                <w:rFonts w:cs="Calibri"/>
              </w:rPr>
              <w:t xml:space="preserve"> East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Junction of </w:t>
            </w:r>
            <w:proofErr w:type="spellStart"/>
            <w:r>
              <w:rPr>
                <w:rFonts w:cs="Calibri"/>
                <w:color w:val="000000"/>
              </w:rPr>
              <w:t>Rockbridge</w:t>
            </w:r>
            <w:proofErr w:type="spellEnd"/>
            <w:r>
              <w:rPr>
                <w:rFonts w:cs="Calibri"/>
                <w:color w:val="000000"/>
              </w:rPr>
              <w:t xml:space="preserve"> Fold to the boundary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£176,856.08</w:t>
            </w:r>
          </w:p>
        </w:tc>
      </w:tr>
      <w:tr w:rsidR="008C5825" w:rsidTr="003064FD">
        <w:trPr>
          <w:trHeight w:val="85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Skipton Old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C681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Pendle Rural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Pendle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Bed End at </w:t>
            </w:r>
            <w:proofErr w:type="spellStart"/>
            <w:r>
              <w:rPr>
                <w:rFonts w:cs="Calibri"/>
                <w:color w:val="000000"/>
              </w:rPr>
              <w:t>Windacre</w:t>
            </w:r>
            <w:proofErr w:type="spellEnd"/>
            <w:r>
              <w:rPr>
                <w:rFonts w:cs="Calibri"/>
                <w:color w:val="000000"/>
              </w:rPr>
              <w:t xml:space="preserve"> Farm to Byron Road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£131,280.47</w:t>
            </w:r>
          </w:p>
        </w:tc>
      </w:tr>
      <w:tr w:rsidR="008C5825" w:rsidTr="003064FD">
        <w:trPr>
          <w:trHeight w:val="83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Whitemoor</w:t>
            </w:r>
            <w:proofErr w:type="spellEnd"/>
            <w:r>
              <w:rPr>
                <w:rFonts w:cs="Calibri"/>
              </w:rPr>
              <w:t xml:space="preserve">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B6251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Pendle Rural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Pendle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Moor Lane to Warehouse Lane (not including the sharp bend)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9C1A8E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C1A8E">
              <w:rPr>
                <w:rFonts w:cs="Calibri"/>
                <w:bCs/>
                <w:color w:val="000000"/>
              </w:rPr>
              <w:t>£153,017.88</w:t>
            </w:r>
          </w:p>
        </w:tc>
      </w:tr>
      <w:tr w:rsidR="008C5825" w:rsidTr="003064FD">
        <w:trPr>
          <w:trHeight w:val="82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F3DC4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Vicarage Lane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F3DC4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C226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F3DC4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East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Pr="009F3DC4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Ribble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264683" w:rsidRDefault="008C5825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9F3DC4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Outside Highfield to </w:t>
            </w:r>
            <w:proofErr w:type="spellStart"/>
            <w:r>
              <w:rPr>
                <w:rFonts w:cs="Calibri"/>
              </w:rPr>
              <w:t>Cuerdale</w:t>
            </w:r>
            <w:proofErr w:type="spellEnd"/>
            <w:r>
              <w:rPr>
                <w:rFonts w:cs="Calibri"/>
              </w:rPr>
              <w:t xml:space="preserve"> Lane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59207E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59207E">
              <w:rPr>
                <w:rFonts w:cs="Calibri"/>
                <w:bCs/>
                <w:color w:val="000000"/>
              </w:rPr>
              <w:t>£29,317.92</w:t>
            </w:r>
          </w:p>
        </w:tc>
      </w:tr>
      <w:tr w:rsidR="008C5825" w:rsidTr="003064FD">
        <w:trPr>
          <w:trHeight w:val="1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lastRenderedPageBreak/>
              <w:t>School Lane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C195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Moss Side and </w:t>
            </w:r>
            <w:proofErr w:type="spellStart"/>
            <w:r>
              <w:rPr>
                <w:rFonts w:cs="Calibri"/>
              </w:rPr>
              <w:t>Farington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Ribble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</w:rPr>
              <w:t>Ulnes</w:t>
            </w:r>
            <w:proofErr w:type="spellEnd"/>
            <w:r>
              <w:rPr>
                <w:rFonts w:cs="Calibri"/>
              </w:rPr>
              <w:t xml:space="preserve"> Walton Lane to Dunkirk Lane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8F5C73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F5C73">
              <w:rPr>
                <w:rFonts w:cs="Calibri"/>
                <w:bCs/>
                <w:color w:val="000000"/>
              </w:rPr>
              <w:t>£36,371.62</w:t>
            </w:r>
          </w:p>
        </w:tc>
      </w:tr>
      <w:tr w:rsidR="008C5825" w:rsidTr="003064FD">
        <w:trPr>
          <w:trHeight w:val="98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Westhead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A581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Chorley Rural West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Chorley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Outside number 22 Westhead Road to outside number 25 Town Road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8F5C73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F5C73">
              <w:rPr>
                <w:rFonts w:cs="Calibri"/>
                <w:bCs/>
                <w:color w:val="000000"/>
              </w:rPr>
              <w:t>£19,154.90</w:t>
            </w:r>
          </w:p>
        </w:tc>
      </w:tr>
      <w:tr w:rsidR="008C5825" w:rsidTr="003064FD">
        <w:trPr>
          <w:trHeight w:val="98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Bolton Road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A673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Chorley Rural East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Chorley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Outside number 36 Bolton Road to Chorley Road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8F5C73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F5C73">
              <w:rPr>
                <w:rFonts w:cs="Calibri"/>
                <w:bCs/>
                <w:color w:val="000000"/>
              </w:rPr>
              <w:t>£19,748.95</w:t>
            </w:r>
          </w:p>
        </w:tc>
      </w:tr>
      <w:tr w:rsidR="008C5825" w:rsidTr="003064FD">
        <w:trPr>
          <w:trHeight w:val="86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Southport Road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A570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West Lancashire West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West Lancashire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616A3D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Smithy Lane to </w:t>
            </w:r>
            <w:proofErr w:type="spellStart"/>
            <w:r>
              <w:rPr>
                <w:rFonts w:cs="Calibri"/>
              </w:rPr>
              <w:t>Harridge</w:t>
            </w:r>
            <w:proofErr w:type="spellEnd"/>
            <w:r>
              <w:rPr>
                <w:rFonts w:cs="Calibri"/>
              </w:rPr>
              <w:t xml:space="preserve"> Lane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012D8C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012D8C">
              <w:rPr>
                <w:rFonts w:cs="Calibri"/>
                <w:bCs/>
                <w:color w:val="000000"/>
              </w:rPr>
              <w:t>£57,610.64</w:t>
            </w:r>
          </w:p>
        </w:tc>
      </w:tr>
      <w:tr w:rsidR="008C5825" w:rsidTr="003064FD">
        <w:trPr>
          <w:trHeight w:val="109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Main Street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A683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Lancaster Rural East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Lancaster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616A3D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Strands Farm Lane to number 12 Royal Oak Meadow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012D8C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012D8C">
              <w:rPr>
                <w:rFonts w:cs="Calibri"/>
                <w:bCs/>
                <w:color w:val="000000"/>
              </w:rPr>
              <w:t>£93,615.33</w:t>
            </w:r>
          </w:p>
        </w:tc>
      </w:tr>
      <w:tr w:rsidR="008C5825" w:rsidTr="003064FD">
        <w:trPr>
          <w:trHeight w:val="99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Alder Lane/Ash Brow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A5209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West Lancashire East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West Lancashire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616A3D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Lancaster Lane to Smithy Brow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012D8C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012D8C">
              <w:rPr>
                <w:rFonts w:cs="Calibri"/>
                <w:bCs/>
                <w:color w:val="000000"/>
              </w:rPr>
              <w:t>£99,287.75</w:t>
            </w:r>
          </w:p>
        </w:tc>
      </w:tr>
      <w:tr w:rsidR="008C5825" w:rsidTr="003064FD">
        <w:trPr>
          <w:trHeight w:val="97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Trough Road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C477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Longridge with </w:t>
            </w:r>
            <w:proofErr w:type="spellStart"/>
            <w:r>
              <w:rPr>
                <w:rFonts w:cs="Calibri"/>
              </w:rPr>
              <w:t>Bowland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616A3D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Section after the new inlay road to the first cattle grid 250m of Staple Oat Barn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012D8C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012D8C">
              <w:rPr>
                <w:rFonts w:cs="Calibri"/>
                <w:bCs/>
                <w:color w:val="000000"/>
              </w:rPr>
              <w:t>£64,161.31</w:t>
            </w:r>
          </w:p>
        </w:tc>
      </w:tr>
      <w:tr w:rsidR="008C5825" w:rsidTr="003064FD">
        <w:trPr>
          <w:trHeight w:val="22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Little </w:t>
            </w:r>
            <w:proofErr w:type="spellStart"/>
            <w:r>
              <w:rPr>
                <w:rFonts w:cs="Calibri"/>
                <w:color w:val="000000"/>
              </w:rPr>
              <w:t>Bowland</w:t>
            </w:r>
            <w:proofErr w:type="spellEnd"/>
            <w:r>
              <w:rPr>
                <w:rFonts w:cs="Calibri"/>
                <w:color w:val="000000"/>
              </w:rPr>
              <w:t xml:space="preserve"> Road and the surrounding roads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C567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Longridge with </w:t>
            </w:r>
            <w:proofErr w:type="spellStart"/>
            <w:r>
              <w:rPr>
                <w:rFonts w:cs="Calibri"/>
              </w:rPr>
              <w:t>Bowland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</w:pPr>
            <w:r w:rsidRPr="00616A3D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Default="008C5825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Little </w:t>
            </w:r>
            <w:proofErr w:type="spellStart"/>
            <w:r>
              <w:rPr>
                <w:rFonts w:cs="Calibri"/>
              </w:rPr>
              <w:t>Bowland</w:t>
            </w:r>
            <w:proofErr w:type="spellEnd"/>
            <w:r>
              <w:rPr>
                <w:rFonts w:cs="Calibri"/>
              </w:rPr>
              <w:t xml:space="preserve"> Road; </w:t>
            </w:r>
            <w:proofErr w:type="spellStart"/>
            <w:r>
              <w:rPr>
                <w:rFonts w:cs="Calibri"/>
              </w:rPr>
              <w:t>Burtholm</w:t>
            </w:r>
            <w:proofErr w:type="spellEnd"/>
            <w:r>
              <w:rPr>
                <w:rFonts w:cs="Calibri"/>
              </w:rPr>
              <w:t xml:space="preserve"> Lane to </w:t>
            </w:r>
            <w:proofErr w:type="spellStart"/>
            <w:r>
              <w:rPr>
                <w:rFonts w:cs="Calibri"/>
              </w:rPr>
              <w:t>Dinkling</w:t>
            </w:r>
            <w:proofErr w:type="spellEnd"/>
            <w:r>
              <w:rPr>
                <w:rFonts w:cs="Calibri"/>
              </w:rPr>
              <w:t xml:space="preserve"> Green Lane. </w:t>
            </w:r>
            <w:proofErr w:type="spellStart"/>
            <w:r>
              <w:rPr>
                <w:rFonts w:cs="Calibri"/>
              </w:rPr>
              <w:t>Burtholm</w:t>
            </w:r>
            <w:proofErr w:type="spellEnd"/>
            <w:r>
              <w:rPr>
                <w:rFonts w:cs="Calibri"/>
              </w:rPr>
              <w:t xml:space="preserve"> Lane; Talbot Street to Little </w:t>
            </w:r>
            <w:proofErr w:type="spellStart"/>
            <w:r>
              <w:rPr>
                <w:rFonts w:cs="Calibri"/>
              </w:rPr>
              <w:t>Bowland</w:t>
            </w:r>
            <w:proofErr w:type="spellEnd"/>
            <w:r>
              <w:rPr>
                <w:rFonts w:cs="Calibri"/>
              </w:rPr>
              <w:t xml:space="preserve"> Road. </w:t>
            </w:r>
            <w:proofErr w:type="spellStart"/>
            <w:r>
              <w:rPr>
                <w:rFonts w:cs="Calibri"/>
              </w:rPr>
              <w:t>Dinkling</w:t>
            </w:r>
            <w:proofErr w:type="spellEnd"/>
            <w:r>
              <w:rPr>
                <w:rFonts w:cs="Calibri"/>
              </w:rPr>
              <w:t xml:space="preserve">  Green Lane; Little </w:t>
            </w:r>
            <w:proofErr w:type="spellStart"/>
            <w:r>
              <w:rPr>
                <w:rFonts w:cs="Calibri"/>
              </w:rPr>
              <w:t>Bowland</w:t>
            </w:r>
            <w:proofErr w:type="spellEnd"/>
            <w:r>
              <w:rPr>
                <w:rFonts w:cs="Calibri"/>
              </w:rPr>
              <w:t xml:space="preserve"> Road to </w:t>
            </w:r>
            <w:proofErr w:type="spellStart"/>
            <w:r>
              <w:rPr>
                <w:rFonts w:cs="Calibri"/>
              </w:rPr>
              <w:t>Wardsley</w:t>
            </w:r>
            <w:proofErr w:type="spellEnd"/>
            <w:r>
              <w:rPr>
                <w:rFonts w:cs="Calibri"/>
              </w:rPr>
              <w:t xml:space="preserve"> Road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012D8C" w:rsidRDefault="008C5825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012D8C">
              <w:rPr>
                <w:rFonts w:cs="Calibri"/>
                <w:bCs/>
                <w:color w:val="000000"/>
              </w:rPr>
              <w:t>£103,903.04</w:t>
            </w:r>
          </w:p>
        </w:tc>
      </w:tr>
      <w:tr w:rsidR="008C5825" w:rsidTr="003064FD">
        <w:trPr>
          <w:trHeight w:val="15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49154A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West Drive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49154A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C383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49154A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Cleveleys East/ Cleveleys South and Carleton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49154A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Wyre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264683" w:rsidRDefault="008C5825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6A3D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25" w:rsidRPr="0049154A" w:rsidRDefault="008C5825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 xml:space="preserve">Fleetwood Road North to </w:t>
            </w:r>
            <w:proofErr w:type="spellStart"/>
            <w:r>
              <w:rPr>
                <w:rFonts w:cs="Calibri"/>
              </w:rPr>
              <w:t>Rossall</w:t>
            </w:r>
            <w:proofErr w:type="spellEnd"/>
            <w:r>
              <w:rPr>
                <w:rFonts w:cs="Calibri"/>
              </w:rPr>
              <w:t xml:space="preserve"> Road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25" w:rsidRPr="0049154A" w:rsidRDefault="008C5825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49154A">
              <w:rPr>
                <w:rFonts w:cs="Calibri"/>
                <w:bCs/>
                <w:color w:val="000000"/>
              </w:rPr>
              <w:t>£111,038.45</w:t>
            </w:r>
          </w:p>
        </w:tc>
      </w:tr>
      <w:tr w:rsidR="008C5825" w:rsidTr="003064FD">
        <w:trPr>
          <w:trHeight w:val="509"/>
        </w:trPr>
        <w:tc>
          <w:tcPr>
            <w:tcW w:w="4297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C5825" w:rsidRPr="00B95979" w:rsidRDefault="008C5825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B95979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Forecast Outturn Capital Expenditure: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C5825" w:rsidRPr="000E551E" w:rsidRDefault="008C5825" w:rsidP="003064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E551E">
              <w:rPr>
                <w:rFonts w:cs="Calibri"/>
                <w:b/>
                <w:bCs/>
                <w:color w:val="000000"/>
                <w:sz w:val="21"/>
                <w:szCs w:val="21"/>
              </w:rPr>
              <w:t>£1,968,489.32</w:t>
            </w:r>
          </w:p>
        </w:tc>
      </w:tr>
    </w:tbl>
    <w:p w:rsidR="001A4646" w:rsidRDefault="008C5825" w:rsidP="008C5825">
      <w:bookmarkStart w:id="0" w:name="_GoBack"/>
      <w:bookmarkEnd w:id="0"/>
    </w:p>
    <w:sectPr w:rsidR="001A4646" w:rsidSect="008C5825"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26"/>
    <w:rsid w:val="00025350"/>
    <w:rsid w:val="002562B4"/>
    <w:rsid w:val="008C5825"/>
    <w:rsid w:val="009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98D0"/>
  <w15:chartTrackingRefBased/>
  <w15:docId w15:val="{BA7D294D-8D97-4D44-8D98-E3BB129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2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6017</Characters>
  <Application>Microsoft Office Word</Application>
  <DocSecurity>0</DocSecurity>
  <Lines>50</Lines>
  <Paragraphs>14</Paragraphs>
  <ScaleCrop>false</ScaleCrop>
  <Company>Lancashire County Council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2020-02-28T08:42:00Z</dcterms:created>
  <dcterms:modified xsi:type="dcterms:W3CDTF">2020-02-28T08:43:00Z</dcterms:modified>
</cp:coreProperties>
</file>